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18" w:rsidRPr="000E1A18" w:rsidRDefault="000E1A18" w:rsidP="000E1A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E1A18" w:rsidRPr="000E1A18" w:rsidRDefault="000E1A18" w:rsidP="000E1A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0E1A18" w:rsidRPr="000E1A18" w:rsidRDefault="000E1A18" w:rsidP="000E1A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0E1A18" w:rsidRPr="000E1A18" w:rsidRDefault="00E90BAF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от «01» апреля </w:t>
      </w:r>
      <w:r w:rsidR="000E1A1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2019 года № </w:t>
      </w:r>
      <w:r w:rsidR="001126B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193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проведении публичных слушаний об исполнении</w:t>
      </w: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бюджета городского поселения город Чухлома Чухломского </w:t>
      </w: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2018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связи с внесением главы городского поселения город Чухлома Чухломского муниципального</w:t>
      </w:r>
      <w:r w:rsidR="001126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Гусевой</w:t>
      </w:r>
      <w:r w:rsidR="001126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М.И.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рассмотрение в Совет депутатов городского поселения город Чухлома Чухломского муниципального района Костромской области, исполнение бюджета городского поселения город Чухлома Чухломского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  <w:r w:rsidR="00A96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области, Совет депутатов </w:t>
      </w:r>
      <w:r w:rsidRPr="000E1A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0E1A18" w:rsidRPr="000E1A18" w:rsidRDefault="000E1A18" w:rsidP="000E1A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Провести публичные слушания об исполнении бюджета городского поселения город Чухлома Чухломского муниципального района Костромской области за </w:t>
      </w:r>
      <w:r w:rsidR="00D46A8A">
        <w:rPr>
          <w:rFonts w:ascii="Times New Roman" w:eastAsia="Times New Roman" w:hAnsi="Times New Roman" w:cs="Times New Roman"/>
          <w:sz w:val="24"/>
          <w:szCs w:val="24"/>
          <w:lang w:eastAsia="zh-CN"/>
        </w:rPr>
        <w:t>2018</w:t>
      </w:r>
      <w:r w:rsidR="001D61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в Совете депутатов «23</w:t>
      </w:r>
      <w:r w:rsidR="001126BF">
        <w:rPr>
          <w:rFonts w:ascii="Times New Roman" w:eastAsia="Times New Roman" w:hAnsi="Times New Roman" w:cs="Times New Roman"/>
          <w:sz w:val="24"/>
          <w:szCs w:val="24"/>
          <w:lang w:eastAsia="zh-CN"/>
        </w:rPr>
        <w:t>» апреля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в 15.00 часов по адресу: г. Чухлома, ул. Советская д.1, администрация городского поселения.</w:t>
      </w:r>
    </w:p>
    <w:p w:rsidR="000E1A18" w:rsidRPr="000E1A18" w:rsidRDefault="000E1A18" w:rsidP="000E1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Ответственность за подготовку и проведение публичных слушаний об исполнении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2018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возложить </w:t>
      </w:r>
      <w:r w:rsidR="001126BF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главу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город Чухлома Чухломского муниципального района Костромской области </w:t>
      </w:r>
      <w:r w:rsidR="001126B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Гусева М.И.</w:t>
      </w:r>
      <w:r w:rsidR="001126B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0E1A18" w:rsidRPr="000E1A18" w:rsidRDefault="000E1A18" w:rsidP="000E1A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(Беркутов И.А.).</w:t>
      </w:r>
    </w:p>
    <w:p w:rsidR="000E1A18" w:rsidRPr="000E1A18" w:rsidRDefault="000E1A18" w:rsidP="000E1A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решение вступает в силу со дня его подписания и подлежит официальному опубликованию в </w:t>
      </w:r>
      <w:r w:rsidR="001126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печатном издании «Вестник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Чухломы».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tabs>
          <w:tab w:val="left" w:pos="4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Совета депутатов               Глава городского поселения город Чухлома</w:t>
      </w: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город Чухлома     Чухломского муниципального района</w:t>
      </w: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     Костромской области</w:t>
      </w: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 И.А. Беркутов          ___________________ М.И. Гусева</w:t>
      </w: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0E1A18" w:rsidRPr="000E1A18" w:rsidRDefault="001126BF" w:rsidP="000E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«01» апреля </w:t>
      </w:r>
      <w:r w:rsid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1D61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  <w:bookmarkStart w:id="0" w:name="_GoBack"/>
      <w:bookmarkEnd w:id="0"/>
    </w:p>
    <w:p w:rsid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A8A" w:rsidRDefault="00D46A8A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A8A" w:rsidRDefault="00D46A8A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6A8A" w:rsidRPr="000E1A18" w:rsidRDefault="00D46A8A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126BF" w:rsidRDefault="001126BF" w:rsidP="00334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3345B4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4A3C9B">
        <w:rPr>
          <w:rFonts w:ascii="Times New Roman" w:eastAsia="Times New Roman" w:hAnsi="Times New Roman" w:cs="Times New Roman"/>
          <w:sz w:val="20"/>
          <w:szCs w:val="20"/>
          <w:lang w:eastAsia="ru-RU"/>
        </w:rPr>
        <w:t>01» апреля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 №</w:t>
      </w:r>
      <w:r w:rsidR="004A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193</w:t>
      </w:r>
    </w:p>
    <w:p w:rsidR="003345B4" w:rsidRDefault="003345B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04499" w:rsidRDefault="00104499" w:rsidP="001044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0E1A18" w:rsidRPr="000E1A18" w:rsidRDefault="00104499" w:rsidP="001044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10449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(ПРОЕКТ)</w:t>
      </w:r>
    </w:p>
    <w:p w:rsidR="00104499" w:rsidRPr="000E1A18" w:rsidRDefault="00104499" w:rsidP="00104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104499" w:rsidRPr="000E1A18" w:rsidRDefault="00104499" w:rsidP="00104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104499" w:rsidRPr="000E1A18" w:rsidRDefault="00104499" w:rsidP="00104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104499" w:rsidP="00D4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«__» ___________2019</w:t>
      </w:r>
      <w:r w:rsidR="000E1A18"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</w:t>
      </w:r>
    </w:p>
    <w:p w:rsidR="000E1A18" w:rsidRPr="000E1A18" w:rsidRDefault="000E1A18" w:rsidP="00D4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D4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отчета об исполнении бюджета </w:t>
      </w:r>
    </w:p>
    <w:p w:rsidR="000E1A18" w:rsidRPr="000E1A18" w:rsidRDefault="000E1A18" w:rsidP="00D4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0E1A18" w:rsidRPr="000E1A18" w:rsidRDefault="000E1A18" w:rsidP="00D4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</w:t>
      </w:r>
      <w:r w:rsidR="00104499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2018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0E1A18" w:rsidRPr="000E1A18" w:rsidRDefault="000E1A18" w:rsidP="00D4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D46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Рассмотрев внесенный главой администрации городского поселения город Чухлома Чухломского муниципального района Костромской области отчет «Об исполнении бюджета городского поселения город Чухлома Чухломского муниципального ра</w:t>
      </w:r>
      <w:r w:rsidR="00D46A8A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2018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год», заключение Ревизионной комиссии, Совет депутатов </w:t>
      </w:r>
      <w:r w:rsidRPr="000E1A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Утвердить отчет «Об исполнении бюджета городского поселения город Чухлома Чухломского муниципального ра</w:t>
      </w:r>
      <w:r w:rsidR="00D46A8A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за 2018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 по доходам в сумме </w:t>
      </w:r>
      <w:r w:rsidR="00D46A8A">
        <w:rPr>
          <w:rFonts w:ascii="Times New Roman" w:eastAsia="Times New Roman" w:hAnsi="Times New Roman" w:cs="Times New Roman"/>
          <w:sz w:val="24"/>
          <w:szCs w:val="24"/>
          <w:lang w:eastAsia="zh-CN"/>
        </w:rPr>
        <w:t>30405,6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по расходам в сумме </w:t>
      </w:r>
      <w:r w:rsidR="00D46A8A">
        <w:rPr>
          <w:rFonts w:ascii="Times New Roman" w:eastAsia="Times New Roman" w:hAnsi="Times New Roman" w:cs="Times New Roman"/>
          <w:sz w:val="24"/>
          <w:szCs w:val="24"/>
          <w:lang w:eastAsia="zh-CN"/>
        </w:rPr>
        <w:t>29676,0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с дефицитом в сумме </w:t>
      </w:r>
      <w:r w:rsidR="00D46A8A">
        <w:rPr>
          <w:rFonts w:ascii="Times New Roman" w:eastAsia="Times New Roman" w:hAnsi="Times New Roman" w:cs="Times New Roman"/>
          <w:sz w:val="24"/>
          <w:szCs w:val="24"/>
          <w:lang w:eastAsia="zh-CN"/>
        </w:rPr>
        <w:t>729,6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(приложения 1,2,3,4 к настоящему Решению).</w:t>
      </w:r>
    </w:p>
    <w:p w:rsidR="000E1A18" w:rsidRPr="000E1A18" w:rsidRDefault="000E1A18" w:rsidP="000E1A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2. Рекомендовать администрации городского поселения город Чухлома принять необходимые меры по обеспечению выполнения утвержденного на 2018 год плана поступлений в бюджет собственных доходов с учетом возможностей мобилизации дополнительных резервов поступлений налоговых и неналоговых платежей.</w:t>
      </w:r>
    </w:p>
    <w:p w:rsidR="000E1A18" w:rsidRPr="000E1A18" w:rsidRDefault="000E1A18" w:rsidP="000E1A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Контроль за исполнением настоящего решения возложить на депутатскую комиссию по </w:t>
      </w:r>
      <w:r w:rsidR="001126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бюджету,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налогам и сборам (Беркутов И.А.).</w:t>
      </w:r>
    </w:p>
    <w:p w:rsidR="000E1A18" w:rsidRPr="000E1A18" w:rsidRDefault="000E1A18" w:rsidP="000E1A1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4. Настоящее решение вступает в силу со дня официального опубликования в печатном издании «Вестник Чухломы».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tabs>
          <w:tab w:val="left" w:pos="4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Совета депутатов               Глава городского поселения город Чухлома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город Чухлома     Чухломского муниципального района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     Костромской области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 И.А. Беркутов          ___________________ М.И. Гусева</w:t>
      </w: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1A18" w:rsidRPr="000E1A18" w:rsidRDefault="000E1A18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0E1A18" w:rsidRDefault="00F36824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«__» _______________ </w:t>
      </w:r>
      <w:r w:rsidR="00D46A8A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</w:p>
    <w:p w:rsidR="00CF48E7" w:rsidRDefault="00CF48E7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48E7" w:rsidRDefault="00CF48E7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48E7" w:rsidRDefault="00CF48E7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48E7" w:rsidRDefault="00CF48E7" w:rsidP="000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48E7" w:rsidRPr="00CF48E7" w:rsidRDefault="00CF48E7" w:rsidP="00CF48E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48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Пояснительная записка об исполнения бюджета Администрации городского поселения город Чухлома Чухломского муниципального райо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Костромской области за 2018 </w:t>
      </w:r>
      <w:r w:rsidRPr="00CF48E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год.</w:t>
      </w:r>
    </w:p>
    <w:p w:rsidR="00CF48E7" w:rsidRPr="00CF48E7" w:rsidRDefault="00CF48E7" w:rsidP="00CF48E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F48E7">
        <w:rPr>
          <w:rFonts w:ascii="Times New Roman" w:eastAsia="Calibri" w:hAnsi="Times New Roman" w:cs="Times New Roman"/>
          <w:sz w:val="24"/>
          <w:szCs w:val="24"/>
          <w:lang w:eastAsia="zh-CN"/>
        </w:rPr>
        <w:t>Бюджет Администрации городского поселения город Чухлома Чухломского муниципального района Костр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омской области исполнен за </w:t>
      </w:r>
      <w:r w:rsidRPr="00CF48E7">
        <w:rPr>
          <w:rFonts w:ascii="Times New Roman" w:eastAsia="Calibri" w:hAnsi="Times New Roman" w:cs="Times New Roman"/>
          <w:sz w:val="24"/>
          <w:szCs w:val="24"/>
          <w:lang w:eastAsia="zh-CN"/>
        </w:rPr>
        <w:t>2018 год по доходам в сумме 30405,6 тыс. руб. при плане 31785,3 тыс. руб. или 95,7% от годового планового назначения. Налоговые и не налоговые доходы бюджета городского поселения составили 17435,1 тыс. руб. при плановом назначении 17339,0 тыс. руб. или 100,6%.</w:t>
      </w: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F48E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</w: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48E7">
        <w:rPr>
          <w:rFonts w:ascii="Times New Roman" w:eastAsia="Calibri" w:hAnsi="Times New Roman" w:cs="Times New Roman"/>
          <w:sz w:val="24"/>
          <w:szCs w:val="24"/>
          <w:lang w:eastAsia="zh-CN"/>
        </w:rPr>
        <w:t>Окончательный бюджет Администрации городского поселения город Чухлома Чухломского муниципального района Костромской области утвержден Решением Совета депутатов от 29.12.2018г. № 183 план по доходам составил 31785,3 тыс. руб., в том числе налоговые и неналоговые доходы бюджета городского поселения 17339,0 тыс. руб.</w:t>
      </w: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48E7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поселения наибольший доход получен по следующим показателям: налог на доходы физи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ческих лиц – 5288,5 тыс. руб., </w:t>
      </w:r>
      <w:r w:rsidRPr="00CF48E7">
        <w:rPr>
          <w:rFonts w:ascii="Times New Roman" w:eastAsia="Calibri" w:hAnsi="Times New Roman" w:cs="Times New Roman"/>
          <w:sz w:val="24"/>
          <w:szCs w:val="24"/>
          <w:lang w:eastAsia="zh-CN"/>
        </w:rPr>
        <w:t>налог на совокупный доход – 1792,4 тыс. руб., налоги на имущество – 2030,6 тыс. руб., доходы от оказания платных услуг (работ) и компенсации затрат государства – 4983,1 тыс. руб.</w:t>
      </w: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Налог на доходы физических лиц.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30,3%.Поступление налога за 2018 год составило 5288,5 тыс. руб. при годовом уточненном плане 5300,0 тыс. руб. Процент исполнения – 99,8%.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Налог на товары (работы, услуги), реализуемые на территории Российской Федерации (акцизы).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3,5%. Поступление налога за 2018 год составило 605,1 тыс.руб. при годовом уточненном плане 500,0 тыс.руб. Процент исполнения – 121,0 %.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Налоги на совокупный доход.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</w:t>
      </w:r>
      <w:r w:rsidRPr="003345B4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Удельный вес данного показателя в структуре налоговых и неналоговых доходов составил 4,7%. Поступление налога составило 814,3 тыс. руб. при годовом уточненном плане 757,0 тыс. руб. Процент исполнения –107,6%.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Налог, взимаемый с налогоплательщиков, выбравших в качестве объекта налогообложения доходы, уменьшенные на величину расходов.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Удельный вес данного показателя в структуре налоговых и неналоговых доходов составил 5,6%. Поступление налога составило 978,1 тыс. руб. при годовом уточненном плане 580,0 тыс. руб. Процент исполнения – 168,6% 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Налог на имущество физических лиц. 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структуре налоговых и неналоговых доходов бюджета городского поселения                                         удельный вес налога на имущество физических лиц 4,9%.Поступление налогов в бюджет городского поселения за 2018 год составил 850,7тыс. руб. при годовом уточненном плане 835,0 тыс. руб. Процент исполнения составил 101,9%  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Земельный налог.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структуре налоговых и неналоговых доходов бюджета городского поселения                           удельный вес земельного налога составил 6,8%.Поступление налога в бюджет городского поселения за 2018 год составил 1179,9 тыс. руб. при годовом уточненном плане 1033,0 тыс. руб. Процент исполнения составил 114,2%. 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Доходы от использования имущества, находящегося в государственной и муниципальной собственности.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345B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Фактическое поступление доходов в 2018 году составило 1040,1  тыс. руб. при годовом уточненном плане 959,0 тыс. руб. Процент исполнения составил – 108,5%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Доходы от сдачи в аренду имущества, составляющего казну городских поселений (за исключением земельных участков).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2018 год составили 379,8 тыс. руб. при годовом уточненном плане 700,0 тыс. руб. Процент исполнения составил – 54,3%.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2018 год составили 246,4 тыс. руб. при годовом уточненном плане 200,0 тыс. руб. Процент исполнения составил – 123,2%.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Доходы от оказания платных услуг (работ) и компенсации затрат государства.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В структуре налоговых и неналоговых доходов бюджета городского поселения                                  удельный вес данного показателя за 2018 год составил 28,6%.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составили 4983,1 тыс. руб. при годовом уточненном плане 5165,0 тыс. руб. Процент исполнения составил – 96,5%, в том числе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МКУК Кинотеатр «Экран» - 1007,9 тыс. 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МКУ </w:t>
      </w:r>
      <w:proofErr w:type="spellStart"/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Чухломский</w:t>
      </w:r>
      <w:proofErr w:type="spellEnd"/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ДК – 55,8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МКУ «Служба МЗ» - 3917,4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МКУ «Молодежно-спортивный центр» - 2,0 тыс. 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zh-CN"/>
        </w:rPr>
        <w:t>Доходы от реализации иного имущества, находящегося в собственности городских поселений.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 годовом уточненном плане 1000,0 тыс. руб. поступления в бюджет составили 795,0 тыс. руб. Процент исполнения- 79,5%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Поступление в бюджет за 2018 год составил 270,2 тыс. руб. при годовом уточненном плане 260,0 тыс.руб. Процент исполнения составил - 103,9%.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Поступление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2018 год составили 2,1 тыс. руб. при годовом уточненном плане 45 тыс. руб. Процент исполнения составил – 4,6%. 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Поступление в бюджет за 2018 год составили 1,9 тыс. руб. при годовом уточненном плане 5,0 тыс. руб. Процент исполнения составил – 37,6%. 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Безвозмездные поступления.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Безвозмездные поступления в бюджет составили 12970,5 тыс. руб. при годовом уточненном плане 14446,3 тыс. рублей. 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-областная дотация на выравнивание бюджетной обеспеченности — 2670,0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proofErr w:type="spellStart"/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райрнная</w:t>
      </w:r>
      <w:proofErr w:type="spellEnd"/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дотация на выравнивание бюджетной обеспеченности — 400,0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-субсидия на ремонт крыши дома культуры — 842,1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-городская среда — 1072,7 тыс. 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-субсидия на снижение аварийности на водопроводе, модернизация системы освещения — 617,1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-субсидия на выполнение передаваемых полномочий — 12,1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-субсидия на ВУС — 226,8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-прочие районные межбюджетные трансферты — 7039,2 тыс.руб.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-безвозмездные поступления — 90,4 тыс.руб.(</w:t>
      </w:r>
      <w:proofErr w:type="spellStart"/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>софинансирование</w:t>
      </w:r>
      <w:proofErr w:type="spellEnd"/>
      <w:r w:rsidRPr="003345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городская среда, местные инициативы).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  <w:r w:rsidRPr="003345B4">
        <w:rPr>
          <w:rFonts w:ascii="Times New Roman" w:eastAsia="Calibri" w:hAnsi="Times New Roman" w:cs="Times New Roman"/>
          <w:b/>
          <w:iCs/>
          <w:color w:val="000000"/>
          <w:lang w:eastAsia="zh-CN"/>
        </w:rPr>
        <w:t>Проводимые мероприятия по увеличению поступлений налоговых и неналоговых доходов, сокращению недоимки.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3345B4"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налоговых доходов (налог на доходы физических лиц, налог на имущество физических лиц, земельный налог).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3345B4">
        <w:rPr>
          <w:rFonts w:ascii="Times New Roman" w:eastAsia="Calibri" w:hAnsi="Times New Roman" w:cs="Times New Roman"/>
          <w:color w:val="000000"/>
          <w:lang w:eastAsia="zh-CN"/>
        </w:rPr>
        <w:t>Проведение ежемесячного мониторинга неналоговых доходов (аренда земли, имущества, доходы от продажи материальных и нематериальных активов, прочие неналоговые доходы).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3345B4">
        <w:rPr>
          <w:rFonts w:ascii="Times New Roman" w:eastAsia="Calibri" w:hAnsi="Times New Roman" w:cs="Times New Roman"/>
          <w:color w:val="000000"/>
          <w:lang w:eastAsia="zh-CN"/>
        </w:rPr>
        <w:t>Проводятся работы по внесению в государственный кадастр недвижимости изменений в земельный участок, в части долей собственников физических лиц в праве общей собственности на общее имущество в МКД.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  <w:r w:rsidRPr="003345B4">
        <w:rPr>
          <w:rFonts w:ascii="Times New Roman" w:eastAsia="Calibri" w:hAnsi="Times New Roman" w:cs="Times New Roman"/>
          <w:color w:val="000000"/>
          <w:lang w:eastAsia="zh-CN"/>
        </w:rPr>
        <w:t>Специалистами городского поселения проведена работа с недоимщиками налога на имущество и земельного налога.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FF6600"/>
          <w:sz w:val="24"/>
          <w:szCs w:val="24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>Расходы.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3345B4">
        <w:rPr>
          <w:rFonts w:ascii="Times New Roman" w:eastAsia="Calibri" w:hAnsi="Times New Roman" w:cs="Times New Roman"/>
          <w:lang w:eastAsia="zh-CN"/>
        </w:rPr>
        <w:t>Бюджет городского поселения город Чухлома Чухломского муниципального района Костромской области по расходам исполнен в сумме 29676,0 тыс. руб. при плане 32458,8 тыс. руб. исполнение составило 91,4%.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0102 «Функционирование высшего должностного лица муниципального образования» (Глава) </w:t>
      </w:r>
      <w:r w:rsidRPr="003345B4">
        <w:rPr>
          <w:rFonts w:ascii="Times New Roman" w:eastAsia="Calibri" w:hAnsi="Times New Roman" w:cs="Times New Roman"/>
          <w:lang w:eastAsia="zh-CN"/>
        </w:rPr>
        <w:t>Исполнение составило 683,3 тыс. руб. при годовом уточненном плане 683,4 тыс. руб. Исполнение составило 100%. Удельный вес в структуре расходов составляет 2,3%. Расходы производились на оплату труда с начислениями.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(Совет депутатов) </w:t>
      </w:r>
      <w:r w:rsidRPr="003345B4">
        <w:rPr>
          <w:rFonts w:ascii="Times New Roman" w:eastAsia="Calibri" w:hAnsi="Times New Roman" w:cs="Times New Roman"/>
          <w:lang w:eastAsia="zh-CN"/>
        </w:rPr>
        <w:t>Исполнение составило 202,8 тыс. руб. при годовом уточненном плане 262,9 тыс. руб. Исполнение составило 77,1%. Удельный вес в структуре расходов составляет 1%. Расходы производились на оплату труда с начислениями и оплату пеней за несвоевременную выплату налогов.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0104 «Функционирование местных администраций» </w:t>
      </w:r>
      <w:r w:rsidRPr="003345B4">
        <w:rPr>
          <w:rFonts w:ascii="Times New Roman" w:eastAsia="Calibri" w:hAnsi="Times New Roman" w:cs="Times New Roman"/>
          <w:lang w:eastAsia="zh-CN"/>
        </w:rPr>
        <w:t>исполнение составило 2146,9 тыс. руб. при годовом уточненном плане 2264,9 тыс. руб. Исполнение составило 94,8%. Удельный вес в структуре расходов составляет 6%. Расходы производились на зарплату с начислениями</w:t>
      </w:r>
      <w:r w:rsidRPr="003345B4">
        <w:rPr>
          <w:rFonts w:ascii="Times New Roman" w:eastAsia="Calibri" w:hAnsi="Times New Roman" w:cs="Times New Roman"/>
          <w:b/>
          <w:bCs/>
          <w:iCs/>
          <w:lang w:eastAsia="zh-CN"/>
        </w:rPr>
        <w:t xml:space="preserve">, </w:t>
      </w:r>
      <w:r w:rsidRPr="003345B4">
        <w:rPr>
          <w:rFonts w:ascii="Times New Roman" w:eastAsia="Calibri" w:hAnsi="Times New Roman" w:cs="Times New Roman"/>
          <w:lang w:eastAsia="zh-CN"/>
        </w:rPr>
        <w:t>оплату договоров ГПХ, на хозяйственные и канцелярские расходы, оплата ГСМ, оплата за услуги связи и интернета.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0113 «Другие общегосударственные вопросы» </w:t>
      </w:r>
      <w:r w:rsidRPr="003345B4">
        <w:rPr>
          <w:rFonts w:ascii="Times New Roman" w:eastAsia="Calibri" w:hAnsi="Times New Roman" w:cs="Times New Roman"/>
          <w:lang w:eastAsia="zh-CN"/>
        </w:rPr>
        <w:t>расход составляет 938,0 тыс. руб. при годовом уточненном плане 953,5 тыс. руб. Исполнение составило 98,4%. Расходы производились на проведение мероприятий, посвященные Дню Победы, оплата труда с начислениями по тех служащим и кочегарам(культура).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0203 «Мобилизационная и вневойсковая подготовка» </w:t>
      </w:r>
      <w:r w:rsidRPr="003345B4">
        <w:rPr>
          <w:rFonts w:ascii="Times New Roman" w:eastAsia="Calibri" w:hAnsi="Times New Roman" w:cs="Times New Roman"/>
          <w:lang w:eastAsia="zh-CN"/>
        </w:rPr>
        <w:t>Расход составляет 226,8 тыс. руб. при годовом уточненном плане 226,8 тыс. руб. Исполнение составило 100%. Расходы производились по оплате труда с начислениями специалиста по воинскому учету, хозяйственные и канцелярские расходы.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0409 «Дорожное хозяйство». </w:t>
      </w:r>
      <w:r w:rsidRPr="003345B4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3345B4">
        <w:rPr>
          <w:rFonts w:ascii="Times New Roman" w:eastAsia="Calibri" w:hAnsi="Times New Roman" w:cs="Times New Roman"/>
          <w:b/>
          <w:lang w:eastAsia="zh-CN"/>
        </w:rPr>
        <w:t xml:space="preserve"> 3402,2</w:t>
      </w:r>
      <w:r w:rsidRPr="003345B4">
        <w:rPr>
          <w:rFonts w:ascii="Times New Roman" w:eastAsia="Calibri" w:hAnsi="Times New Roman" w:cs="Times New Roman"/>
          <w:lang w:eastAsia="zh-CN"/>
        </w:rPr>
        <w:t xml:space="preserve"> тыс. руб. при годовом уточненном плане 3732,8 тыс. руб. исполнение составляет 91,1%. Расходы производились по оплате за текущее содержание дорог, капитальный ремонт улицы М.Горького, покупку трактора.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bCs/>
          <w:iCs/>
          <w:color w:val="000000"/>
          <w:lang w:eastAsia="zh-CN"/>
        </w:rPr>
        <w:t xml:space="preserve">0412 «Национальная экономика». </w:t>
      </w:r>
      <w:r w:rsidRPr="003345B4">
        <w:rPr>
          <w:rFonts w:ascii="Times New Roman" w:eastAsia="Calibri" w:hAnsi="Times New Roman" w:cs="Times New Roman"/>
          <w:color w:val="000000"/>
          <w:lang w:eastAsia="zh-CN"/>
        </w:rPr>
        <w:t>Расход составляет 90,0 тыс.руб. при годовом уточненном плане 122,9 тыс.руб. исполнение составляет 73,2%.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>0501 «Жилищное хозяйство»</w:t>
      </w:r>
      <w:r w:rsidRPr="003345B4">
        <w:rPr>
          <w:rFonts w:ascii="Times New Roman" w:eastAsia="Calibri" w:hAnsi="Times New Roman" w:cs="Times New Roman"/>
          <w:lang w:eastAsia="zh-CN"/>
        </w:rPr>
        <w:t xml:space="preserve"> Расход составляет60,4 тыс. руб. при годовом уточненном плане 87,8 тыс. руб. исполнение составило 68,8 %. Расходы производились по содержанию жилого фонда.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>0502 «Коммунальное хозяйство»</w:t>
      </w:r>
      <w:r w:rsidRPr="003345B4">
        <w:rPr>
          <w:rFonts w:ascii="Times New Roman" w:eastAsia="Calibri" w:hAnsi="Times New Roman" w:cs="Times New Roman"/>
          <w:lang w:eastAsia="zh-CN"/>
        </w:rPr>
        <w:t xml:space="preserve"> Расход составляет1044,0 тыс. руб. при годовом уточненном плане 1052,6 тыс. руб. исполнение составило 99,2% Оплата производилась за ремонт водопровода,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0503 «Благоустройство» </w:t>
      </w:r>
      <w:r w:rsidRPr="003345B4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3345B4">
        <w:rPr>
          <w:rFonts w:ascii="Times New Roman" w:eastAsia="Calibri" w:hAnsi="Times New Roman" w:cs="Times New Roman"/>
          <w:b/>
          <w:lang w:eastAsia="zh-CN"/>
        </w:rPr>
        <w:t xml:space="preserve"> 2916,8</w:t>
      </w:r>
      <w:r w:rsidRPr="003345B4">
        <w:rPr>
          <w:rFonts w:ascii="Times New Roman" w:eastAsia="Calibri" w:hAnsi="Times New Roman" w:cs="Times New Roman"/>
          <w:lang w:eastAsia="zh-CN"/>
        </w:rPr>
        <w:t>тыс. руб. при годовом уточненном плане 3523,6 тыс. руб. исполнение составило 82,8%, в связи с недостаточным финансированием. Оплата за уличное освещение 400,2 тыс</w:t>
      </w:r>
      <w:proofErr w:type="gramStart"/>
      <w:r w:rsidRPr="003345B4">
        <w:rPr>
          <w:rFonts w:ascii="Times New Roman" w:eastAsia="Calibri" w:hAnsi="Times New Roman" w:cs="Times New Roman"/>
          <w:lang w:eastAsia="zh-CN"/>
        </w:rPr>
        <w:t>.р</w:t>
      </w:r>
      <w:proofErr w:type="gramEnd"/>
      <w:r w:rsidRPr="003345B4">
        <w:rPr>
          <w:rFonts w:ascii="Times New Roman" w:eastAsia="Calibri" w:hAnsi="Times New Roman" w:cs="Times New Roman"/>
          <w:lang w:eastAsia="zh-CN"/>
        </w:rPr>
        <w:t xml:space="preserve">уб.; благоустройство 287,7 тыс. </w:t>
      </w:r>
      <w:proofErr w:type="spellStart"/>
      <w:r w:rsidRPr="003345B4">
        <w:rPr>
          <w:rFonts w:ascii="Times New Roman" w:eastAsia="Calibri" w:hAnsi="Times New Roman" w:cs="Times New Roman"/>
          <w:lang w:eastAsia="zh-CN"/>
        </w:rPr>
        <w:t>руб</w:t>
      </w:r>
      <w:proofErr w:type="spellEnd"/>
      <w:r w:rsidRPr="003345B4">
        <w:rPr>
          <w:rFonts w:ascii="Times New Roman" w:eastAsia="Calibri" w:hAnsi="Times New Roman" w:cs="Times New Roman"/>
          <w:lang w:eastAsia="zh-CN"/>
        </w:rPr>
        <w:t xml:space="preserve"> — оплата по договорам ГПХ, в том числе оплата за уборку мусора в центре города, на </w:t>
      </w:r>
      <w:proofErr w:type="spellStart"/>
      <w:r w:rsidRPr="003345B4">
        <w:rPr>
          <w:rFonts w:ascii="Times New Roman" w:eastAsia="Calibri" w:hAnsi="Times New Roman" w:cs="Times New Roman"/>
          <w:lang w:eastAsia="zh-CN"/>
        </w:rPr>
        <w:t>пляже,в</w:t>
      </w:r>
      <w:proofErr w:type="spellEnd"/>
      <w:r w:rsidRPr="003345B4">
        <w:rPr>
          <w:rFonts w:ascii="Times New Roman" w:eastAsia="Calibri" w:hAnsi="Times New Roman" w:cs="Times New Roman"/>
          <w:lang w:eastAsia="zh-CN"/>
        </w:rPr>
        <w:t xml:space="preserve"> парке, благоустройство территории в центре города, 1436,1 тыс. руб. участие в областной программе «Городская среда»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0505 «Другие вопросы в области жилищно-коммунального хозяйства» </w:t>
      </w:r>
      <w:r w:rsidRPr="003345B4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3345B4">
        <w:rPr>
          <w:rFonts w:ascii="Times New Roman" w:eastAsia="Calibri" w:hAnsi="Times New Roman" w:cs="Times New Roman"/>
          <w:b/>
          <w:lang w:eastAsia="zh-CN"/>
        </w:rPr>
        <w:t xml:space="preserve"> 7763,4</w:t>
      </w:r>
      <w:r w:rsidRPr="003345B4">
        <w:rPr>
          <w:rFonts w:ascii="Times New Roman" w:eastAsia="Calibri" w:hAnsi="Times New Roman" w:cs="Times New Roman"/>
          <w:lang w:eastAsia="zh-CN"/>
        </w:rPr>
        <w:t xml:space="preserve"> тыс. руб. при годовом уточненном плане 9194,4 тыс. руб. исполнение составило 84,4%.  Расходы производились на зарплату с начислениями по МКУ «Служба МЗ», оплату договоров ГПХ, оплата за дрова, содержание бани, приобретение ГСМ (трактор).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0707 «Молодежная политика» </w:t>
      </w:r>
      <w:r w:rsidRPr="003345B4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3345B4">
        <w:rPr>
          <w:rFonts w:ascii="Times New Roman" w:eastAsia="Calibri" w:hAnsi="Times New Roman" w:cs="Times New Roman"/>
          <w:b/>
          <w:lang w:eastAsia="zh-CN"/>
        </w:rPr>
        <w:t xml:space="preserve"> 2376,0</w:t>
      </w:r>
      <w:r w:rsidRPr="003345B4">
        <w:rPr>
          <w:rFonts w:ascii="Times New Roman" w:eastAsia="Calibri" w:hAnsi="Times New Roman" w:cs="Times New Roman"/>
          <w:lang w:eastAsia="zh-CN"/>
        </w:rPr>
        <w:t xml:space="preserve"> тыс. руб. при годовом уточненном плане 2378,4 тыс. руб. исполнение составило 99,9%. Расходы направлены на оплату труда с </w:t>
      </w:r>
      <w:r w:rsidRPr="003345B4">
        <w:rPr>
          <w:rFonts w:ascii="Times New Roman" w:eastAsia="Calibri" w:hAnsi="Times New Roman" w:cs="Times New Roman"/>
          <w:color w:val="000000"/>
          <w:lang w:eastAsia="zh-CN"/>
        </w:rPr>
        <w:lastRenderedPageBreak/>
        <w:t>начислениями по МКУ «Молодежно-спортивный центр»</w:t>
      </w:r>
      <w:r w:rsidRPr="003345B4">
        <w:rPr>
          <w:rFonts w:ascii="Times New Roman" w:eastAsia="Calibri" w:hAnsi="Times New Roman" w:cs="Times New Roman"/>
          <w:lang w:eastAsia="zh-CN"/>
        </w:rPr>
        <w:t>, на проведение мероприятий, оплата договоров ГПХ, произведены расходы для оплаты труда детей в трудовых отрядах в летний период.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0709 «Другие вопросы в области образования» </w:t>
      </w:r>
      <w:r w:rsidRPr="003345B4">
        <w:rPr>
          <w:rFonts w:ascii="Times New Roman" w:eastAsia="Calibri" w:hAnsi="Times New Roman" w:cs="Times New Roman"/>
          <w:lang w:eastAsia="zh-CN"/>
        </w:rPr>
        <w:t xml:space="preserve">Расход составляет1630,1 тыс. руб. при годовом уточненном плане 1633,8 тыс. руб. исполнение составило 99,8%. По этому подразделу производятся расходы на содержание централизованной бухгалтерии. 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0801 «Культура» </w:t>
      </w:r>
      <w:r w:rsidRPr="003345B4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3345B4">
        <w:rPr>
          <w:rFonts w:ascii="Times New Roman" w:eastAsia="Calibri" w:hAnsi="Times New Roman" w:cs="Times New Roman"/>
          <w:b/>
          <w:lang w:eastAsia="zh-CN"/>
        </w:rPr>
        <w:t xml:space="preserve"> 6165,3</w:t>
      </w:r>
      <w:r w:rsidRPr="003345B4">
        <w:rPr>
          <w:rFonts w:ascii="Times New Roman" w:eastAsia="Calibri" w:hAnsi="Times New Roman" w:cs="Times New Roman"/>
          <w:lang w:eastAsia="zh-CN"/>
        </w:rPr>
        <w:t xml:space="preserve"> тыс. руб. при годовом уточненном плане 6201,3 тыс. руб. исполнение составило 99,4%.  Расходы производились на оплату труда с начислениями, оплата договоров ГПХ, хозяйственные расходы, приобретение дров, расходы на проведение мероприятий. В этом году проведен ремонт кровли в МКУ </w:t>
      </w:r>
      <w:proofErr w:type="spellStart"/>
      <w:r w:rsidRPr="003345B4">
        <w:rPr>
          <w:rFonts w:ascii="Times New Roman" w:eastAsia="Calibri" w:hAnsi="Times New Roman" w:cs="Times New Roman"/>
          <w:lang w:eastAsia="zh-CN"/>
        </w:rPr>
        <w:t>Чухломский</w:t>
      </w:r>
      <w:proofErr w:type="spellEnd"/>
      <w:r w:rsidRPr="003345B4">
        <w:rPr>
          <w:rFonts w:ascii="Times New Roman" w:eastAsia="Calibri" w:hAnsi="Times New Roman" w:cs="Times New Roman"/>
          <w:lang w:eastAsia="zh-CN"/>
        </w:rPr>
        <w:t xml:space="preserve"> Дом культуры — 925,4 тыс. руб.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lang w:eastAsia="zh-CN"/>
        </w:rPr>
      </w:pPr>
      <w:r w:rsidRPr="003345B4">
        <w:rPr>
          <w:rFonts w:ascii="Times New Roman" w:eastAsia="Calibri" w:hAnsi="Times New Roman" w:cs="Times New Roman"/>
          <w:b/>
          <w:lang w:eastAsia="zh-CN"/>
        </w:rPr>
        <w:t xml:space="preserve">1105 «Физическая культура» </w:t>
      </w:r>
      <w:r w:rsidRPr="003345B4">
        <w:rPr>
          <w:rFonts w:ascii="Times New Roman" w:eastAsia="Calibri" w:hAnsi="Times New Roman" w:cs="Times New Roman"/>
          <w:lang w:eastAsia="zh-CN"/>
        </w:rPr>
        <w:t>Расход составляет</w:t>
      </w:r>
      <w:r w:rsidRPr="003345B4">
        <w:rPr>
          <w:rFonts w:ascii="Times New Roman" w:eastAsia="Calibri" w:hAnsi="Times New Roman" w:cs="Times New Roman"/>
          <w:b/>
          <w:lang w:eastAsia="zh-CN"/>
        </w:rPr>
        <w:t xml:space="preserve"> 20,0</w:t>
      </w:r>
      <w:r w:rsidRPr="003345B4">
        <w:rPr>
          <w:rFonts w:ascii="Times New Roman" w:eastAsia="Calibri" w:hAnsi="Times New Roman" w:cs="Times New Roman"/>
          <w:lang w:eastAsia="zh-CN"/>
        </w:rPr>
        <w:t xml:space="preserve"> тыс. руб. при годовом уточненном исполнении 20,0 тыс. руб. исполнение составило 100%. На приобретение материальных запасов и командировочные расходы для поездки детей на соревнование.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3345B4">
        <w:rPr>
          <w:rFonts w:ascii="Times New Roman" w:eastAsia="Calibri" w:hAnsi="Times New Roman" w:cs="Times New Roman"/>
          <w:b/>
          <w:bCs/>
          <w:iCs/>
          <w:lang w:eastAsia="zh-CN"/>
        </w:rPr>
        <w:t xml:space="preserve">1003 «Социальное обеспечение населения» </w:t>
      </w:r>
      <w:r w:rsidRPr="003345B4">
        <w:rPr>
          <w:rFonts w:ascii="Times New Roman" w:eastAsia="Calibri" w:hAnsi="Times New Roman" w:cs="Times New Roman"/>
          <w:lang w:eastAsia="zh-CN"/>
        </w:rPr>
        <w:t>Расход в 2018 году составил 10,0 тыс.руб. При годовом уточненном плане 10,0 тыс.руб. Исполнение составило 100%. Расходы производились для оплаты помощи населению, пострадавшим на пожаре.</w:t>
      </w:r>
    </w:p>
    <w:p w:rsidR="00CF48E7" w:rsidRPr="003345B4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48E7">
        <w:rPr>
          <w:rFonts w:ascii="Times New Roman" w:eastAsia="Calibri" w:hAnsi="Times New Roman" w:cs="Times New Roman"/>
          <w:sz w:val="24"/>
          <w:szCs w:val="24"/>
          <w:lang w:eastAsia="zh-CN"/>
        </w:rPr>
        <w:t>Глава администрации городского</w:t>
      </w: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48E7">
        <w:rPr>
          <w:rFonts w:ascii="Times New Roman" w:eastAsia="Calibri" w:hAnsi="Times New Roman" w:cs="Times New Roman"/>
          <w:sz w:val="24"/>
          <w:szCs w:val="24"/>
          <w:lang w:eastAsia="zh-CN"/>
        </w:rPr>
        <w:t>поселения город Чухлома:                                                                М.И.Гусева</w:t>
      </w:r>
    </w:p>
    <w:p w:rsidR="00CF48E7" w:rsidRP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48E7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Руководителя МЦБ:   В.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Н. Щербакова</w:t>
      </w: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48E7" w:rsidRDefault="00CF48E7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A6354" w:rsidRDefault="007A635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A6354" w:rsidRDefault="007A635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A6354" w:rsidRDefault="007A635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A6354" w:rsidRPr="00900973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A6354" w:rsidRPr="00900973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7A6354" w:rsidRPr="00900973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7A6354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 №</w:t>
      </w:r>
    </w:p>
    <w:p w:rsidR="007A6354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4924" w:type="pct"/>
        <w:tblLook w:val="0000"/>
      </w:tblPr>
      <w:tblGrid>
        <w:gridCol w:w="9426"/>
      </w:tblGrid>
      <w:tr w:rsidR="007A6354" w:rsidRPr="007812CE" w:rsidTr="00EE77E0">
        <w:trPr>
          <w:trHeight w:val="852"/>
        </w:trPr>
        <w:tc>
          <w:tcPr>
            <w:tcW w:w="5000" w:type="pct"/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Чухломского муниципального района Костромской области за</w:t>
            </w:r>
            <w:r w:rsidRPr="00781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2018 год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A6354" w:rsidRPr="007812CE" w:rsidRDefault="007A6354" w:rsidP="007A6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/>
      </w:tblPr>
      <w:tblGrid>
        <w:gridCol w:w="3825"/>
        <w:gridCol w:w="2854"/>
        <w:gridCol w:w="1447"/>
        <w:gridCol w:w="1445"/>
      </w:tblGrid>
      <w:tr w:rsidR="007A6354" w:rsidRPr="007812CE" w:rsidTr="00EE77E0">
        <w:trPr>
          <w:trHeight w:val="656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КИФР</w:t>
            </w:r>
            <w:proofErr w:type="gramStart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,К</w:t>
            </w:r>
            <w:proofErr w:type="gramEnd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ИВнФ</w:t>
            </w:r>
            <w:proofErr w:type="spellEnd"/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плану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ыс</w:t>
            </w:r>
            <w:proofErr w:type="spellEnd"/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. руб.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b/>
                <w:lang w:eastAsia="zh-CN"/>
              </w:rPr>
              <w:t>Сумма по факту тыс.руб.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000 01 00 00 00 00 0000 000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673,5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729,6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000 01 02 00 00 00 0000 000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624,0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7A6354" w:rsidRPr="007812CE" w:rsidTr="00EE77E0">
        <w:tc>
          <w:tcPr>
            <w:tcW w:w="19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000 01 02 00 00 00 0000 700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1624,0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000 01 02 00 00 13 0000 710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1624,0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A6354" w:rsidRPr="007812CE" w:rsidTr="00EE77E0">
        <w:trPr>
          <w:trHeight w:val="610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000 01 02 00 00 00 0000 800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000 01 02 00 00 13 0000 810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000 01 05 00 00 00 0000 000 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49,5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729,6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000 01 05 00 00 00 0000 500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000 01 05 02 00 00 0000 500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000 01 05 02 01 00 0000 510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000 01 05 02 01 13 0000 510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-33409,3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-30405,6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000 01 05 00 00 00 0000 600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000 01 05 02 00 00 0000 600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  <w:tr w:rsidR="007A6354" w:rsidRPr="007812CE" w:rsidTr="00EE77E0"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000 01 05 02 01 00 0000 610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  <w:tr w:rsidR="007A6354" w:rsidRPr="007812CE" w:rsidTr="00EE77E0">
        <w:trPr>
          <w:trHeight w:val="729"/>
        </w:trPr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000 01 05 02 01 13 0000 610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+33458,8</w:t>
            </w: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354" w:rsidRPr="007812CE" w:rsidRDefault="007A6354" w:rsidP="00EE77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1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+29676,0</w:t>
            </w:r>
          </w:p>
        </w:tc>
      </w:tr>
    </w:tbl>
    <w:p w:rsidR="007A6354" w:rsidRDefault="007A6354" w:rsidP="007A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A6354" w:rsidRPr="003345B4" w:rsidRDefault="007A635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345B4" w:rsidRDefault="003345B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345B4" w:rsidRDefault="003345B4" w:rsidP="00334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345B4" w:rsidRDefault="003345B4" w:rsidP="00334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A6354" w:rsidRDefault="007A635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1126B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3345B4" w:rsidRPr="00900973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3345B4" w:rsidRDefault="003345B4" w:rsidP="0033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A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_______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 №</w:t>
      </w:r>
    </w:p>
    <w:p w:rsidR="003345B4" w:rsidRDefault="003345B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48E7" w:rsidRPr="003345B4" w:rsidRDefault="003345B4" w:rsidP="003345B4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345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Объем поступлений доходов в бюджет городского поселения город Чухлома Чухломского муниципального района К</w:t>
      </w:r>
      <w:r w:rsidR="007A63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остромской области за 2018 год</w:t>
      </w:r>
    </w:p>
    <w:p w:rsidR="00CF48E7" w:rsidRDefault="00CF48E7" w:rsidP="00CF48E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4943" w:type="pct"/>
        <w:tblInd w:w="55" w:type="dxa"/>
        <w:tblLayout w:type="fixed"/>
        <w:tblLook w:val="04A0"/>
      </w:tblPr>
      <w:tblGrid>
        <w:gridCol w:w="3715"/>
        <w:gridCol w:w="2462"/>
        <w:gridCol w:w="1162"/>
        <w:gridCol w:w="1164"/>
        <w:gridCol w:w="959"/>
      </w:tblGrid>
      <w:tr w:rsidR="00CF48E7" w:rsidRPr="00CF48E7" w:rsidTr="003345B4">
        <w:trPr>
          <w:trHeight w:val="465"/>
        </w:trPr>
        <w:tc>
          <w:tcPr>
            <w:tcW w:w="196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01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2018 год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бюджета на 01.01.2019 года.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по утвержденному плану на 2018 год</w:t>
            </w:r>
          </w:p>
        </w:tc>
      </w:tr>
      <w:tr w:rsidR="00CF48E7" w:rsidRPr="00CF48E7" w:rsidTr="003345B4">
        <w:trPr>
          <w:trHeight w:val="705"/>
        </w:trPr>
        <w:tc>
          <w:tcPr>
            <w:tcW w:w="196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48E7" w:rsidRPr="00CF48E7" w:rsidTr="003345B4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31785,3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30405,6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95,7%</w:t>
            </w:r>
          </w:p>
        </w:tc>
      </w:tr>
      <w:tr w:rsidR="00CF48E7" w:rsidRPr="00CF48E7" w:rsidTr="003345B4">
        <w:trPr>
          <w:trHeight w:val="31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17339,0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17435,1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100,6%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5288,5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5288,5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5209,9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101,2%</w:t>
            </w:r>
          </w:p>
        </w:tc>
      </w:tr>
      <w:tr w:rsidR="00CF48E7" w:rsidRPr="00CF48E7" w:rsidTr="003345B4">
        <w:trPr>
          <w:trHeight w:val="13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43,1%</w:t>
            </w:r>
          </w:p>
        </w:tc>
      </w:tr>
      <w:tr w:rsidR="00CF48E7" w:rsidRPr="00CF48E7" w:rsidTr="003345B4">
        <w:trPr>
          <w:trHeight w:val="11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66,3%</w:t>
            </w:r>
          </w:p>
        </w:tc>
      </w:tr>
      <w:tr w:rsidR="00CF48E7" w:rsidRPr="00CF48E7" w:rsidTr="003345B4">
        <w:trPr>
          <w:trHeight w:val="43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121,0%</w:t>
            </w:r>
          </w:p>
        </w:tc>
      </w:tr>
      <w:tr w:rsidR="00CF48E7" w:rsidRPr="00CF48E7" w:rsidTr="003345B4">
        <w:trPr>
          <w:trHeight w:val="507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производимые на территории РФ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134,8%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135,6%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-60,4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134,1%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134,1%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107,6%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814,3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107,6%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168,6%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168,6%</w:t>
            </w:r>
          </w:p>
        </w:tc>
      </w:tr>
      <w:tr w:rsidR="00CF48E7" w:rsidRPr="00CF48E7" w:rsidTr="003345B4">
        <w:trPr>
          <w:trHeight w:val="39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налог, зачисляемый в бюджеты Российской Федерации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000  1  05  01050  01  0000  110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1868,0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108,7%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1179,9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114,2%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157,5%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157,5%</w:t>
            </w:r>
          </w:p>
        </w:tc>
      </w:tr>
      <w:tr w:rsidR="00CF48E7" w:rsidRPr="00CF48E7" w:rsidTr="003345B4">
        <w:trPr>
          <w:trHeight w:val="42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1666,2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89,6%</w:t>
            </w:r>
          </w:p>
        </w:tc>
      </w:tr>
      <w:tr w:rsidR="00CF48E7" w:rsidRPr="00CF48E7" w:rsidTr="003345B4">
        <w:trPr>
          <w:trHeight w:val="124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85,6%</w:t>
            </w:r>
          </w:p>
        </w:tc>
      </w:tr>
      <w:tr w:rsidR="00CF48E7" w:rsidRPr="00CF48E7" w:rsidTr="003345B4">
        <w:trPr>
          <w:trHeight w:val="124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108,5%</w:t>
            </w:r>
          </w:p>
        </w:tc>
      </w:tr>
      <w:tr w:rsidR="00CF48E7" w:rsidRPr="00CF48E7" w:rsidTr="003345B4">
        <w:trPr>
          <w:trHeight w:val="91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959,0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108,5%</w:t>
            </w:r>
          </w:p>
        </w:tc>
      </w:tr>
      <w:tr w:rsidR="00CF48E7" w:rsidRPr="00CF48E7" w:rsidTr="003345B4">
        <w:trPr>
          <w:trHeight w:val="5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54,3%</w:t>
            </w:r>
          </w:p>
        </w:tc>
      </w:tr>
      <w:tr w:rsidR="00CF48E7" w:rsidRPr="00CF48E7" w:rsidTr="003345B4">
        <w:trPr>
          <w:trHeight w:val="5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CC00" w:fill="FFB3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246,4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123,2%</w:t>
            </w:r>
          </w:p>
        </w:tc>
      </w:tr>
      <w:tr w:rsidR="00CF48E7" w:rsidRPr="00CF48E7" w:rsidTr="003345B4">
        <w:trPr>
          <w:trHeight w:val="43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4983,1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96,5%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151,5%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89,1%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3468,6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3468,6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100,1%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CC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000  1  13  02990  00  0000  130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000  1  13  02995  13  0000  130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CC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CF48E7" w:rsidRPr="00CF48E7" w:rsidTr="003345B4">
        <w:trPr>
          <w:trHeight w:val="43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1065,2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84,5%</w:t>
            </w:r>
          </w:p>
        </w:tc>
      </w:tr>
      <w:tr w:rsidR="00CF48E7" w:rsidRPr="00CF48E7" w:rsidTr="003345B4">
        <w:trPr>
          <w:trHeight w:val="99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CF48E7" w:rsidRPr="00CF48E7" w:rsidTr="003345B4">
        <w:trPr>
          <w:trHeight w:val="1133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CF48E7" w:rsidRPr="00CF48E7" w:rsidTr="003345B4">
        <w:trPr>
          <w:trHeight w:val="112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79,5%</w:t>
            </w:r>
          </w:p>
        </w:tc>
      </w:tr>
      <w:tr w:rsidR="00CF48E7" w:rsidRPr="00CF48E7" w:rsidTr="003345B4">
        <w:trPr>
          <w:trHeight w:val="51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103,9%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B300" w:fill="FF99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</w:t>
            </w: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крупногабаритных грузов.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000  1  16  37000  00  0000  140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4,6%</w:t>
            </w:r>
          </w:p>
        </w:tc>
      </w:tr>
      <w:tr w:rsidR="00CF48E7" w:rsidRPr="00CF48E7" w:rsidTr="003345B4">
        <w:trPr>
          <w:trHeight w:val="9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4,6%</w:t>
            </w:r>
          </w:p>
        </w:tc>
      </w:tr>
      <w:tr w:rsidR="00CF48E7" w:rsidRPr="00CF48E7" w:rsidTr="003345B4">
        <w:trPr>
          <w:trHeight w:val="537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hideMark/>
          </w:tcPr>
          <w:p w:rsidR="00CF48E7" w:rsidRPr="00CF48E7" w:rsidRDefault="00CF48E7" w:rsidP="00CF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B3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</w:tr>
      <w:tr w:rsidR="00CF48E7" w:rsidRPr="00CF48E7" w:rsidTr="003345B4">
        <w:trPr>
          <w:trHeight w:val="67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000  1  17  05050  13  0000  180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14446,3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12970,5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89,8%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12880,1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12880,1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21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2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000  2 02 15001 00 0000 151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2531,9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867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000 2 02 25467 00 0000 151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000 2 02 25467 13 0000 151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822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000 2 02 25555 13 0000 151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1072,7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000  2  02  29999  00  0000  151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45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000  2  02  29999  13  0000  151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238,9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000  2  02  30024 13  0000  151  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000  2  02  35118 13  0000  151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226,8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300" w:fill="FF9900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000  2  02  4999 00  0000  151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555"/>
        </w:trPr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000  2  02  4999 13  0000  151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7039,2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000  2  07  05000 13  0000  180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  <w:tr w:rsidR="00CF48E7" w:rsidRPr="00CF48E7" w:rsidTr="003345B4">
        <w:trPr>
          <w:trHeight w:val="225"/>
        </w:trPr>
        <w:tc>
          <w:tcPr>
            <w:tcW w:w="19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000  2  07  05030 13  0000  180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5,8%</w:t>
            </w:r>
          </w:p>
        </w:tc>
      </w:tr>
    </w:tbl>
    <w:p w:rsidR="003F3C48" w:rsidRDefault="003F3C48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CF48E7" w:rsidRDefault="00CF48E7"/>
    <w:p w:rsidR="00900973" w:rsidRDefault="00900973"/>
    <w:p w:rsidR="00900973" w:rsidRDefault="00900973"/>
    <w:p w:rsidR="00900973" w:rsidRPr="00900973" w:rsidRDefault="00CF48E7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1126B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00973" w:rsidRPr="00900973" w:rsidRDefault="00CF48E7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900973" w:rsidRPr="00900973" w:rsidRDefault="00CF48E7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CF48E7" w:rsidRDefault="00CF48E7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A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______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 №</w:t>
      </w:r>
    </w:p>
    <w:p w:rsidR="00900973" w:rsidRPr="00900973" w:rsidRDefault="00900973" w:rsidP="00900973">
      <w:pPr>
        <w:spacing w:after="0" w:line="240" w:lineRule="auto"/>
        <w:rPr>
          <w:sz w:val="20"/>
          <w:szCs w:val="20"/>
        </w:rPr>
      </w:pPr>
    </w:p>
    <w:p w:rsidR="00CF48E7" w:rsidRPr="00CF48E7" w:rsidRDefault="00CF48E7" w:rsidP="00CF4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E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</w:t>
      </w:r>
      <w:r w:rsidR="007A6354">
        <w:rPr>
          <w:rFonts w:ascii="Times New Roman" w:hAnsi="Times New Roman" w:cs="Times New Roman"/>
          <w:b/>
          <w:sz w:val="24"/>
          <w:szCs w:val="24"/>
        </w:rPr>
        <w:t>ГО РАЙОНА КОСТРОМСКОЙ ОБЛАСТИ ЗА</w:t>
      </w:r>
      <w:r w:rsidRPr="00CF48E7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tbl>
      <w:tblPr>
        <w:tblW w:w="5153" w:type="pct"/>
        <w:tblInd w:w="30" w:type="dxa"/>
        <w:tblLook w:val="04A0"/>
      </w:tblPr>
      <w:tblGrid>
        <w:gridCol w:w="2674"/>
        <w:gridCol w:w="819"/>
        <w:gridCol w:w="1371"/>
        <w:gridCol w:w="925"/>
        <w:gridCol w:w="1184"/>
        <w:gridCol w:w="1342"/>
        <w:gridCol w:w="1320"/>
        <w:gridCol w:w="229"/>
      </w:tblGrid>
      <w:tr w:rsidR="00CF48E7" w:rsidRPr="00CF48E7" w:rsidTr="00CF48E7">
        <w:trPr>
          <w:gridAfter w:val="3"/>
          <w:wAfter w:w="1465" w:type="pct"/>
          <w:trHeight w:val="315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23"/>
            <w:bookmarkStart w:id="2" w:name="RANGE!A1:E225"/>
            <w:bookmarkEnd w:id="1"/>
            <w:bookmarkEnd w:id="2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E7" w:rsidRPr="00CF48E7" w:rsidTr="00CF48E7">
        <w:trPr>
          <w:trHeight w:val="1043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поселений тыс. руб.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 на 01.01.2019, тыс.руб.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48E7" w:rsidRPr="00CF48E7" w:rsidTr="00CF48E7">
        <w:trPr>
          <w:trHeight w:val="267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4274,4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3971,0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9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11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8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84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4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Законодательный (представительный) орган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10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16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5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2146,9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2134,8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2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направленные на погашение кредиторской задолженности, предъявленной </w:t>
            </w: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9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1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3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1040072090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938,0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7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3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1090010300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5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4010051180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98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5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42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3855,7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Дорожное хозяйство </w:t>
            </w: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(дорожные фонды)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91,1%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5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3150071190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2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31500S1190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инициативах по дорожной деятельности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31500S2140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Градостроительство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3380020400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11784,6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Жилищный фонд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Кап.ремонт</w:t>
            </w:r>
            <w:proofErr w:type="spellEnd"/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жилфонда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807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</w:t>
            </w:r>
            <w:proofErr w:type="gramStart"/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,и</w:t>
            </w:r>
            <w:proofErr w:type="gramEnd"/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42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инициативах по коммунальному хозяйству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36100S1300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133,3%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9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7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6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3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направленные на мероприятия в целях реализации проектов развития, основанных на инициативах по благоустройству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36200S1300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3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5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81,5%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36200L5550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8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4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9194,4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7763,4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7763,4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8324,1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6893,1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105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2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1512,7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4012,2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4310000000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0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4310000590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1987,3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92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9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4310000990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7030003300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8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4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8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деятельности подведомственных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4527,4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7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выплату персоналу </w:t>
            </w: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50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направленные на обеспечение развития и укрепления материально-технической базы домов культуры в населенных пунктов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44000L4670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Социальное обеспечение населения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6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 обязательств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7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Социальноое</w:t>
            </w:r>
            <w:proofErr w:type="spellEnd"/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4870000000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4870020800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1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43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4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32458,8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29676,0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91,4%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48E7" w:rsidRPr="00CF48E7" w:rsidTr="00CF48E7">
        <w:trPr>
          <w:trHeight w:val="34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-673,5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-729,6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E7" w:rsidRPr="00CF48E7" w:rsidRDefault="00CF48E7" w:rsidP="00CF4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F48E7" w:rsidRDefault="00CF48E7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/>
    <w:p w:rsid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3" w:rsidRP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1126B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900973" w:rsidRP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900973" w:rsidRP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Чухлома </w:t>
      </w:r>
    </w:p>
    <w:p w:rsidR="00900973" w:rsidRDefault="00900973" w:rsidP="009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A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__» _______ </w:t>
      </w:r>
      <w:r w:rsidRPr="00900973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 №</w:t>
      </w:r>
    </w:p>
    <w:p w:rsidR="00900973" w:rsidRDefault="00900973" w:rsidP="00900973">
      <w:pPr>
        <w:spacing w:after="0" w:line="240" w:lineRule="auto"/>
      </w:pPr>
    </w:p>
    <w:tbl>
      <w:tblPr>
        <w:tblW w:w="9324" w:type="dxa"/>
        <w:tblLook w:val="04A0"/>
      </w:tblPr>
      <w:tblGrid>
        <w:gridCol w:w="9324"/>
      </w:tblGrid>
      <w:tr w:rsidR="00900973" w:rsidRPr="00900973" w:rsidTr="00900973">
        <w:trPr>
          <w:trHeight w:val="47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</w:t>
            </w:r>
            <w:r w:rsidR="007A6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РАЙОНА КОСТРОМСКОЙ ОБЛАСТИ ЗА</w:t>
            </w: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ГОД.</w:t>
            </w:r>
          </w:p>
        </w:tc>
      </w:tr>
      <w:tr w:rsidR="00900973" w:rsidRPr="00900973" w:rsidTr="009009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973" w:rsidRPr="00900973" w:rsidTr="009009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973" w:rsidRPr="00900973" w:rsidTr="009009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973" w:rsidRPr="00900973" w:rsidTr="00900973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973" w:rsidRDefault="00900973"/>
    <w:tbl>
      <w:tblPr>
        <w:tblW w:w="5042" w:type="pct"/>
        <w:tblInd w:w="-40" w:type="dxa"/>
        <w:tblLayout w:type="fixed"/>
        <w:tblLook w:val="04A0"/>
      </w:tblPr>
      <w:tblGrid>
        <w:gridCol w:w="2140"/>
        <w:gridCol w:w="964"/>
        <w:gridCol w:w="691"/>
        <w:gridCol w:w="959"/>
        <w:gridCol w:w="950"/>
        <w:gridCol w:w="876"/>
        <w:gridCol w:w="1025"/>
        <w:gridCol w:w="1141"/>
        <w:gridCol w:w="905"/>
      </w:tblGrid>
      <w:tr w:rsidR="00900973" w:rsidRPr="00900973" w:rsidTr="00900973">
        <w:trPr>
          <w:trHeight w:val="1163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Бюджет, тыс.руб.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бюджета на 01.01.19, тыс.руб.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900973" w:rsidRPr="00900973" w:rsidTr="00900973">
        <w:trPr>
          <w:trHeight w:val="24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  <w:t>12680,2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90,4%</w:t>
            </w:r>
          </w:p>
        </w:tc>
      </w:tr>
      <w:tr w:rsidR="00900973" w:rsidRPr="00900973" w:rsidTr="00900973">
        <w:trPr>
          <w:trHeight w:val="36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Cs/>
                <w:color w:val="800080"/>
                <w:sz w:val="24"/>
                <w:szCs w:val="24"/>
                <w:lang w:eastAsia="ru-RU"/>
              </w:rPr>
              <w:t>4011,5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93,9%</w:t>
            </w:r>
          </w:p>
        </w:tc>
      </w:tr>
      <w:tr w:rsidR="00900973" w:rsidRPr="00900973" w:rsidTr="00900973">
        <w:trPr>
          <w:trHeight w:val="89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6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05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5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02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5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208"/>
        </w:trPr>
        <w:tc>
          <w:tcPr>
            <w:tcW w:w="11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2264,9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94,8%</w:t>
            </w:r>
          </w:p>
        </w:tc>
      </w:tr>
      <w:tr w:rsidR="00900973" w:rsidRPr="00900973" w:rsidTr="00900973">
        <w:trPr>
          <w:trHeight w:val="702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2252,8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7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84,0%</w:t>
            </w:r>
          </w:p>
        </w:tc>
      </w:tr>
      <w:tr w:rsidR="00900973" w:rsidRPr="00900973" w:rsidTr="009009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84,8%</w:t>
            </w:r>
          </w:p>
        </w:tc>
      </w:tr>
      <w:tr w:rsidR="00900973" w:rsidRPr="00900973" w:rsidTr="00900973">
        <w:trPr>
          <w:trHeight w:val="510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82,4%</w:t>
            </w:r>
          </w:p>
        </w:tc>
      </w:tr>
      <w:tr w:rsidR="00900973" w:rsidRPr="00900973" w:rsidTr="00900973">
        <w:trPr>
          <w:trHeight w:val="878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900973" w:rsidRPr="00900973" w:rsidTr="009009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900973" w:rsidRPr="00900973" w:rsidTr="00900973">
        <w:trPr>
          <w:trHeight w:val="8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1040072090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953,5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1090010300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900973" w:rsidRPr="00900973" w:rsidTr="009009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8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6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1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3500002010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1052,6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900973" w:rsidRPr="00900973" w:rsidTr="00900973">
        <w:trPr>
          <w:trHeight w:val="49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направленные на мероприятия в целях реализации проектов развития, основанных на местных инициативах по коммунальному хозяйству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36100S1300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3610020990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27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3610020050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73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3620000000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3523,6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3620020060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48,9%</w:t>
            </w:r>
          </w:p>
        </w:tc>
      </w:tr>
      <w:tr w:rsidR="00900973" w:rsidRPr="00900973" w:rsidTr="009009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3620020080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3620020090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43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3620020100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900973" w:rsidRPr="00900973" w:rsidTr="00900973">
        <w:trPr>
          <w:trHeight w:val="68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3620020990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70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направленные на мероприятия в целях реализации проектов развития, основанных на местных инициативах по благоустройству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36200S1300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81,5%</w:t>
            </w:r>
          </w:p>
        </w:tc>
      </w:tr>
      <w:tr w:rsidR="00900973" w:rsidRPr="00900973" w:rsidTr="00900973">
        <w:trPr>
          <w:trHeight w:val="8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36200L5550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62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900973" w:rsidRPr="00900973" w:rsidTr="00900973">
        <w:trPr>
          <w:trHeight w:val="76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4010051180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103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3855,7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3732,8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3732,8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3150020030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98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 (реконструкцию), капитальный ремонт, ремонт и содержание автомобильных дорог общего пользования местного </w:t>
            </w: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  <w:proofErr w:type="gramStart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формирование муниципальных дорожных фондов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3150071190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1058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 (реконструкцию), капитальный ремонт, ремонт и содержание автомобильных дорог общего пользования местного </w:t>
            </w: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  <w:proofErr w:type="gramStart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формирование муниципальных дорожных фондов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31500S1190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73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направленные на мероприятия в целях реализации проектов развития, основанных на местных инициативах по дорожной деятельности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31500S2140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3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900973" w:rsidRPr="00900973" w:rsidTr="00900973">
        <w:trPr>
          <w:trHeight w:val="68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3380020400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граждан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"Молодёжно-спортивный центр"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2398,4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2378,5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6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101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</w:tr>
      <w:tr w:rsidR="00900973" w:rsidRPr="00900973" w:rsidTr="00900973">
        <w:trPr>
          <w:trHeight w:val="58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7030003300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4870020800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6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71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МКУ "Межведомственная централизованная бухгалтерия"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33FF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</w:tr>
      <w:tr w:rsidR="00900973" w:rsidRPr="00900973" w:rsidTr="00900973">
        <w:trPr>
          <w:trHeight w:val="3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4530000590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</w:tr>
      <w:tr w:rsidR="00900973" w:rsidRPr="00900973" w:rsidTr="00900973">
        <w:trPr>
          <w:trHeight w:val="104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9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3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405"/>
        </w:trPr>
        <w:tc>
          <w:tcPr>
            <w:tcW w:w="11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6201,3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4563,4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</w:tr>
      <w:tr w:rsidR="00900973" w:rsidRPr="00900973" w:rsidTr="009009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98,4%</w:t>
            </w:r>
          </w:p>
        </w:tc>
      </w:tr>
      <w:tr w:rsidR="00900973" w:rsidRPr="00900973" w:rsidTr="00900973">
        <w:trPr>
          <w:trHeight w:val="55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47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30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</w:tr>
      <w:tr w:rsidR="00900973" w:rsidRPr="00900973" w:rsidTr="00900973">
        <w:trPr>
          <w:trHeight w:val="79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9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0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44000L4670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Служба муниципального заказа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9282,2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9282,2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9194,4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Жилижно-коммунальное</w:t>
            </w:r>
            <w:proofErr w:type="spellEnd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9194,4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7763,4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3630000590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8324,1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82,8%</w:t>
            </w:r>
          </w:p>
        </w:tc>
      </w:tr>
      <w:tr w:rsidR="00900973" w:rsidRPr="00900973" w:rsidTr="00900973">
        <w:trPr>
          <w:trHeight w:val="983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61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89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31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3500002000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507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522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Совета депутатов городского поселения город Чухлома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FF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9900FF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900973" w:rsidRPr="00900973" w:rsidTr="00900973">
        <w:trPr>
          <w:trHeight w:val="818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Законодательный (представительный) орган муниципального образования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900973" w:rsidRPr="00900973" w:rsidTr="00900973">
        <w:trPr>
          <w:trHeight w:val="95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1030000190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52,4%</w:t>
            </w:r>
          </w:p>
        </w:tc>
      </w:tr>
      <w:tr w:rsidR="00900973" w:rsidRPr="00900973" w:rsidTr="00900973">
        <w:trPr>
          <w:trHeight w:val="83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927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585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900973" w:rsidRPr="00900973" w:rsidTr="00900973">
        <w:trPr>
          <w:trHeight w:val="330"/>
        </w:trPr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32458,8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29676,0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09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91,4%</w:t>
            </w:r>
          </w:p>
        </w:tc>
      </w:tr>
      <w:tr w:rsidR="00900973" w:rsidRPr="00900973" w:rsidTr="00900973">
        <w:trPr>
          <w:trHeight w:val="342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73" w:rsidRPr="00900973" w:rsidRDefault="00900973" w:rsidP="009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3" w:rsidRDefault="00900973"/>
    <w:sectPr w:rsidR="00900973" w:rsidSect="00E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18"/>
    <w:rsid w:val="000E1A18"/>
    <w:rsid w:val="00104499"/>
    <w:rsid w:val="001126BF"/>
    <w:rsid w:val="001D6100"/>
    <w:rsid w:val="003345B4"/>
    <w:rsid w:val="003F3C48"/>
    <w:rsid w:val="004A3C9B"/>
    <w:rsid w:val="004D2572"/>
    <w:rsid w:val="006857E9"/>
    <w:rsid w:val="007A6354"/>
    <w:rsid w:val="00900973"/>
    <w:rsid w:val="00A96313"/>
    <w:rsid w:val="00CF48E7"/>
    <w:rsid w:val="00D46A8A"/>
    <w:rsid w:val="00E45D05"/>
    <w:rsid w:val="00E90BAF"/>
    <w:rsid w:val="00F3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11308</Words>
  <Characters>64458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2</cp:revision>
  <cp:lastPrinted>2019-04-12T08:56:00Z</cp:lastPrinted>
  <dcterms:created xsi:type="dcterms:W3CDTF">2019-04-12T09:56:00Z</dcterms:created>
  <dcterms:modified xsi:type="dcterms:W3CDTF">2019-04-12T09:56:00Z</dcterms:modified>
</cp:coreProperties>
</file>