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4727"/>
      </w:tblGrid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Тип бюджетного обязательства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1 - закупка, если бюджетное обязательство возникло в соот</w:t>
            </w:r>
            <w:r>
              <w:rPr>
                <w:szCs w:val="22"/>
              </w:rPr>
              <w:t>ветствии с планом закупок на текущий финансовый год и плановый период,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 – прочее, </w:t>
            </w:r>
            <w:r>
              <w:t>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</w:tbl>
    <w:p w:rsidR="00086D3E" w:rsidRDefault="00375802">
      <w:pPr>
        <w:pStyle w:val="ConsPlusNormal"/>
        <w:ind w:firstLine="540"/>
        <w:jc w:val="right"/>
      </w:pPr>
      <w:r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строку 7.5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4727"/>
      </w:tblGrid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7.5.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 xml:space="preserve">Номер лицевого счета </w:t>
            </w:r>
            <w:r>
              <w:t>(раздела на лицевом счете)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ind w:firstLine="283"/>
              <w:jc w:val="both"/>
            </w:pPr>
            <w: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</w:t>
            </w:r>
            <w:r>
              <w:t>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t xml:space="preserve">Аналитический номер раздела на лицевом счете указывается в случае, если операции по </w:t>
            </w:r>
            <w:r>
              <w:t xml:space="preserve">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</w:t>
            </w:r>
            <w:r>
              <w:lastRenderedPageBreak/>
              <w:t>казначейскому сопровождению, предост</w:t>
            </w:r>
            <w:r>
              <w:t>авляемых в соответствии с документом-основанием</w:t>
            </w:r>
          </w:p>
        </w:tc>
      </w:tr>
    </w:tbl>
    <w:p w:rsidR="00086D3E" w:rsidRDefault="00375802">
      <w:pPr>
        <w:pStyle w:val="ConsPlusNormal"/>
        <w:ind w:firstLine="540"/>
        <w:jc w:val="right"/>
      </w:pPr>
      <w:r>
        <w:lastRenderedPageBreak/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строку 7.6 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4727"/>
      </w:tblGrid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7.6.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Номер банковского (казначейского) счета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</w:tbl>
    <w:p w:rsidR="00086D3E" w:rsidRDefault="00375802">
      <w:pPr>
        <w:pStyle w:val="ConsPlusNormal"/>
        <w:ind w:firstLine="540"/>
        <w:jc w:val="right"/>
        <w:rPr>
          <w:rFonts w:eastAsiaTheme="minorHAnsi"/>
          <w:lang w:eastAsia="en-US"/>
        </w:rPr>
      </w:pPr>
      <w:r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строки 8.1, 8.2 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4727"/>
      </w:tblGrid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8.1.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Указывается наименование объекта капитального строительства, объекта недвижимого имуще</w:t>
            </w:r>
            <w:r>
              <w:rPr>
                <w:szCs w:val="22"/>
              </w:rPr>
              <w:t xml:space="preserve">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 </w:t>
            </w:r>
            <w:r>
              <w:t>(мероприятия по информатизации)</w:t>
            </w:r>
            <w:r>
              <w:rPr>
                <w:szCs w:val="22"/>
              </w:rPr>
              <w:t xml:space="preserve"> (при наличии)</w:t>
            </w:r>
          </w:p>
        </w:tc>
      </w:tr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8.2.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 xml:space="preserve">Уникальный код объекта капитального </w:t>
            </w:r>
            <w:r>
              <w:t>строительства или объекта недвижимого имущества (мероприятия по информатизации)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Указывается уникальный код объекта капитального строительства или объекта недвижимого имущества </w:t>
            </w:r>
            <w:r>
              <w:t>(мероприятия по информатизации)</w:t>
            </w:r>
            <w:r>
              <w:rPr>
                <w:szCs w:val="22"/>
              </w:rPr>
              <w:t xml:space="preserve"> (при наличии)</w:t>
            </w:r>
          </w:p>
        </w:tc>
      </w:tr>
    </w:tbl>
    <w:p w:rsidR="00086D3E" w:rsidRDefault="00375802">
      <w:pPr>
        <w:pStyle w:val="ConsPlusNormal"/>
        <w:ind w:firstLine="540"/>
        <w:jc w:val="right"/>
        <w:rPr>
          <w:rFonts w:eastAsiaTheme="minorHAnsi"/>
          <w:lang w:eastAsia="en-US"/>
        </w:rPr>
      </w:pPr>
      <w:r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строку 8.11 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36"/>
        <w:gridCol w:w="4727"/>
      </w:tblGrid>
      <w:tr w:rsidR="00086D3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8.11.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>Аналитический код</w:t>
            </w:r>
          </w:p>
        </w:tc>
        <w:tc>
          <w:tcPr>
            <w:tcW w:w="4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Указывается при необходимости аналитический код, </w:t>
            </w:r>
            <w:r>
              <w:t>присваиваемый органом Федерального казначейства</w:t>
            </w:r>
            <w:r>
              <w:rPr>
                <w:szCs w:val="22"/>
              </w:rPr>
              <w:t xml:space="preserve"> субсидиям, субвенциям и иным межбюджетным трансфертам, имеющим целевое значение, предост</w:t>
            </w:r>
            <w:r>
              <w:rPr>
                <w:szCs w:val="22"/>
              </w:rPr>
              <w:t xml:space="preserve">авляемым из федерального бюджета бюджетам субъектов Российской Федерации и муниципальных образований или код, </w:t>
            </w:r>
            <w:r>
              <w:t xml:space="preserve">присваиваемый органом </w:t>
            </w:r>
            <w:r>
              <w:lastRenderedPageBreak/>
              <w:t>Федерального казначейства</w:t>
            </w:r>
            <w:r>
              <w:rPr>
                <w:szCs w:val="22"/>
              </w:rPr>
              <w:t xml:space="preserve"> для завершения расчетов по обязательствам, неисполненным на начало текущего финансового года</w:t>
            </w:r>
          </w:p>
        </w:tc>
      </w:tr>
    </w:tbl>
    <w:p w:rsidR="00086D3E" w:rsidRDefault="00375802">
      <w:pPr>
        <w:pStyle w:val="ConsPlusNormal"/>
        <w:ind w:firstLine="540"/>
        <w:jc w:val="right"/>
        <w:rPr>
          <w:rFonts w:eastAsiaTheme="minorHAnsi"/>
          <w:lang w:eastAsia="en-US"/>
        </w:rPr>
      </w:pPr>
      <w:r>
        <w:lastRenderedPageBreak/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 в Информации, необходимой для постановки на учет </w:t>
      </w:r>
      <w:r>
        <w:t xml:space="preserve">денежного </w:t>
      </w:r>
      <w:r>
        <w:rPr>
          <w:rFonts w:eastAsiaTheme="minorHAnsi"/>
          <w:lang w:eastAsia="en-US"/>
        </w:rPr>
        <w:t>обязательства (внесения изменений в поставленное на учет денежное обязательство) (приложение № 2 к Порядку):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строку 5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778"/>
        <w:gridCol w:w="4728"/>
      </w:tblGrid>
      <w:tr w:rsidR="00086D3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  <w:rPr>
                <w:szCs w:val="22"/>
              </w:rPr>
            </w:pPr>
            <w:r>
              <w:t>Уникальный код объекта капитального ст</w:t>
            </w:r>
            <w:r>
              <w:t>роительства или объекта недвижимого имущества (мероприятия по информатизации)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ind w:firstLine="283"/>
              <w:jc w:val="both"/>
              <w:rPr>
                <w:szCs w:val="22"/>
              </w:rPr>
            </w:pPr>
            <w:r>
              <w:t>Указывается уникальный код объекта капитального строительства или объекта недвижимого имущества (мероприятия по информатизации)</w:t>
            </w:r>
            <w:r>
              <w:rPr>
                <w:szCs w:val="22"/>
              </w:rPr>
              <w:t xml:space="preserve"> (при наличии)</w:t>
            </w:r>
          </w:p>
        </w:tc>
      </w:tr>
    </w:tbl>
    <w:p w:rsidR="00086D3E" w:rsidRDefault="00375802">
      <w:pPr>
        <w:pStyle w:val="ConsPlusNormal"/>
        <w:ind w:firstLine="540"/>
        <w:jc w:val="right"/>
        <w:rPr>
          <w:rFonts w:eastAsiaTheme="minorHAnsi"/>
          <w:lang w:eastAsia="en-US"/>
        </w:rPr>
      </w:pPr>
      <w:r>
        <w:t>»;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строку 7.8 изложить в следующей редакции: </w:t>
      </w:r>
    </w:p>
    <w:p w:rsidR="00086D3E" w:rsidRDefault="00375802">
      <w:pPr>
        <w:pStyle w:val="ConsPlusNormal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778"/>
        <w:gridCol w:w="4728"/>
      </w:tblGrid>
      <w:tr w:rsidR="00086D3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7.8.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jc w:val="both"/>
            </w:pPr>
            <w:r>
              <w:t xml:space="preserve">Аналитический код 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6D3E" w:rsidRDefault="00375802">
            <w:pPr>
              <w:pStyle w:val="ConsPlusNormal"/>
              <w:spacing w:line="276" w:lineRule="auto"/>
              <w:ind w:firstLine="283"/>
              <w:jc w:val="both"/>
            </w:pPr>
            <w:r>
              <w:t>Указывается при необходимости в дополнение к коду по бюджетной классификации плательщика аналитический код, используемый органом,</w:t>
            </w:r>
            <w:r>
              <w:rPr>
                <w:rFonts w:eastAsiaTheme="minorHAnsi"/>
                <w:lang w:eastAsia="en-US"/>
              </w:rPr>
              <w:t xml:space="preserve"> осуществляющим открытие и ведение </w:t>
            </w:r>
            <w:r>
              <w:t>лицевых счетов УБП, в ц</w:t>
            </w:r>
            <w:r>
              <w:t>елях санкционирования операций с целевыми расходами</w:t>
            </w:r>
          </w:p>
        </w:tc>
      </w:tr>
    </w:tbl>
    <w:p w:rsidR="00086D3E" w:rsidRDefault="00375802">
      <w:pPr>
        <w:pStyle w:val="ConsPlusNormal"/>
        <w:jc w:val="right"/>
      </w:pPr>
      <w:r>
        <w:t>».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 в Перечне документов, на основании которых возникают бюджетные обязательства получателей средств бюджета городского поселения город Чухлома Чухломского муниципального района Костромской области, и</w:t>
      </w:r>
      <w:r>
        <w:rPr>
          <w:rFonts w:eastAsiaTheme="minorHAnsi"/>
          <w:lang w:eastAsia="en-US"/>
        </w:rPr>
        <w:t xml:space="preserve"> документов, подтверждающих возникновение денежных обязательств получателей бюджета городского поселения город Чухлома Чухломского муниципального района Костромской области  (приложение № 3 к Порядку):</w:t>
      </w:r>
    </w:p>
    <w:p w:rsidR="00086D3E" w:rsidRDefault="0037580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12 слова «Заявление физического лица» заменит</w:t>
      </w:r>
      <w:r>
        <w:rPr>
          <w:rFonts w:eastAsiaTheme="minorHAnsi"/>
          <w:lang w:eastAsia="en-US"/>
        </w:rPr>
        <w:t>ь словами «Заявление физического лица, иной документ, подтверждающий возникновение денежного обязательства перед физическим лицом».</w:t>
      </w:r>
    </w:p>
    <w:p w:rsidR="00086D3E" w:rsidRDefault="00375802">
      <w:pPr>
        <w:pStyle w:val="ConsPlusNormal"/>
        <w:ind w:firstLine="709"/>
        <w:jc w:val="both"/>
      </w:pPr>
      <w:r>
        <w:t>2. Настоящее Постановление вступает в силу с момента подписания.</w:t>
      </w:r>
    </w:p>
    <w:p w:rsidR="00086D3E" w:rsidRDefault="00086D3E">
      <w:pPr>
        <w:pStyle w:val="ConsPlusNormal"/>
        <w:ind w:firstLine="709"/>
        <w:jc w:val="both"/>
      </w:pPr>
    </w:p>
    <w:p w:rsidR="00086D3E" w:rsidRDefault="00086D3E">
      <w:pPr>
        <w:pStyle w:val="ConsPlusNormal"/>
        <w:ind w:firstLine="709"/>
        <w:jc w:val="both"/>
      </w:pPr>
    </w:p>
    <w:p w:rsidR="00086D3E" w:rsidRDefault="00086D3E">
      <w:pPr>
        <w:pStyle w:val="ConsPlusNormal"/>
        <w:ind w:firstLine="709"/>
        <w:jc w:val="both"/>
      </w:pPr>
    </w:p>
    <w:p w:rsidR="00086D3E" w:rsidRDefault="00375802">
      <w:pPr>
        <w:pStyle w:val="ConsPlusNormal"/>
        <w:ind w:firstLine="709"/>
        <w:jc w:val="both"/>
      </w:pPr>
      <w:r>
        <w:t>Глава городского поселения</w:t>
      </w:r>
    </w:p>
    <w:p w:rsidR="00086D3E" w:rsidRDefault="00375802">
      <w:pPr>
        <w:pStyle w:val="ConsPlusNormal"/>
        <w:ind w:firstLine="709"/>
        <w:jc w:val="both"/>
      </w:pPr>
      <w:r>
        <w:lastRenderedPageBreak/>
        <w:t xml:space="preserve">Город Чухлома                </w:t>
      </w:r>
      <w:r>
        <w:t xml:space="preserve">                                                      М.И. Гусева</w:t>
      </w:r>
    </w:p>
    <w:p w:rsidR="00086D3E" w:rsidRDefault="00086D3E">
      <w:pPr>
        <w:pStyle w:val="ConsPlusNormal"/>
        <w:ind w:firstLine="709"/>
        <w:jc w:val="both"/>
      </w:pPr>
    </w:p>
    <w:p w:rsidR="00086D3E" w:rsidRDefault="00086D3E">
      <w:pPr>
        <w:pStyle w:val="ConsPlusNormal"/>
        <w:ind w:firstLine="709"/>
        <w:jc w:val="both"/>
      </w:pPr>
    </w:p>
    <w:sectPr w:rsidR="00086D3E" w:rsidSect="00086D3E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02" w:rsidRDefault="00375802" w:rsidP="00086D3E">
      <w:pPr>
        <w:spacing w:after="0" w:line="240" w:lineRule="auto"/>
      </w:pPr>
      <w:r>
        <w:separator/>
      </w:r>
    </w:p>
  </w:endnote>
  <w:endnote w:type="continuationSeparator" w:id="0">
    <w:p w:rsidR="00375802" w:rsidRDefault="00375802" w:rsidP="0008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02" w:rsidRDefault="00375802" w:rsidP="00086D3E">
      <w:pPr>
        <w:spacing w:after="0" w:line="240" w:lineRule="auto"/>
      </w:pPr>
      <w:r>
        <w:separator/>
      </w:r>
    </w:p>
  </w:footnote>
  <w:footnote w:type="continuationSeparator" w:id="0">
    <w:p w:rsidR="00375802" w:rsidRDefault="00375802" w:rsidP="0008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3E" w:rsidRDefault="00086D3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D3E"/>
    <w:rsid w:val="00086D3E"/>
    <w:rsid w:val="00375802"/>
    <w:rsid w:val="007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E"/>
    <w:pPr>
      <w:suppressAutoHyphens/>
      <w:spacing w:after="200"/>
    </w:pPr>
  </w:style>
  <w:style w:type="paragraph" w:styleId="1">
    <w:name w:val="heading 1"/>
    <w:basedOn w:val="a"/>
    <w:link w:val="10"/>
    <w:qFormat/>
    <w:rsid w:val="002F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link w:val="50"/>
    <w:qFormat/>
    <w:rsid w:val="002F64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FB7B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2F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2F6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Определение"/>
    <w:uiPriority w:val="99"/>
    <w:qFormat/>
    <w:rsid w:val="00327784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7F66C5"/>
  </w:style>
  <w:style w:type="character" w:customStyle="1" w:styleId="a6">
    <w:name w:val="Нижний колонтитул Знак"/>
    <w:basedOn w:val="a0"/>
    <w:uiPriority w:val="99"/>
    <w:qFormat/>
    <w:rsid w:val="007F66C5"/>
  </w:style>
  <w:style w:type="character" w:customStyle="1" w:styleId="-">
    <w:name w:val="Интернет-ссылка"/>
    <w:basedOn w:val="a0"/>
    <w:uiPriority w:val="99"/>
    <w:semiHidden/>
    <w:unhideWhenUsed/>
    <w:rsid w:val="00645D5F"/>
    <w:rPr>
      <w:color w:val="0000FF"/>
      <w:u w:val="single"/>
    </w:rPr>
  </w:style>
  <w:style w:type="character" w:customStyle="1" w:styleId="ListLabel1">
    <w:name w:val="ListLabel 1"/>
    <w:qFormat/>
    <w:rsid w:val="00086D3E"/>
    <w:rPr>
      <w:rFonts w:eastAsia="Times New Roman"/>
    </w:rPr>
  </w:style>
  <w:style w:type="paragraph" w:customStyle="1" w:styleId="a7">
    <w:name w:val="Заголовок"/>
    <w:basedOn w:val="a"/>
    <w:next w:val="a8"/>
    <w:qFormat/>
    <w:rsid w:val="00086D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86D3E"/>
    <w:pPr>
      <w:spacing w:after="140" w:line="288" w:lineRule="auto"/>
    </w:pPr>
  </w:style>
  <w:style w:type="paragraph" w:styleId="a9">
    <w:name w:val="List"/>
    <w:basedOn w:val="a8"/>
    <w:rsid w:val="00086D3E"/>
    <w:rPr>
      <w:rFonts w:cs="Mangal"/>
    </w:rPr>
  </w:style>
  <w:style w:type="paragraph" w:styleId="aa">
    <w:name w:val="Title"/>
    <w:basedOn w:val="a"/>
    <w:rsid w:val="00086D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86D3E"/>
    <w:pPr>
      <w:suppressLineNumbers/>
    </w:pPr>
    <w:rPr>
      <w:rFonts w:cs="Mangal"/>
    </w:rPr>
  </w:style>
  <w:style w:type="paragraph" w:styleId="ac">
    <w:name w:val="Subtitle"/>
    <w:basedOn w:val="a"/>
    <w:qFormat/>
    <w:rsid w:val="00FB7B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rsid w:val="00FB7B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07760"/>
    <w:pPr>
      <w:suppressAutoHyphens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qFormat/>
    <w:rsid w:val="00A233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F66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7F1886"/>
    <w:pPr>
      <w:widowControl w:val="0"/>
      <w:suppressAutoHyphens/>
      <w:spacing w:line="240" w:lineRule="auto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qFormat/>
    <w:rsid w:val="007D454B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ED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504C-AD7E-4AEC-A6FE-7C256F7A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</dc:creator>
  <cp:lastModifiedBy>User</cp:lastModifiedBy>
  <cp:revision>2</cp:revision>
  <cp:lastPrinted>2021-12-23T08:16:00Z</cp:lastPrinted>
  <dcterms:created xsi:type="dcterms:W3CDTF">2022-03-04T11:42:00Z</dcterms:created>
  <dcterms:modified xsi:type="dcterms:W3CDTF">2022-03-04T11:42:00Z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